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93B" w:rsidRPr="00CB168F" w:rsidRDefault="0031693B" w:rsidP="0031693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108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9C7285" w:rsidRPr="009C7285">
        <w:rPr>
          <w:rFonts w:ascii="Arial" w:hAnsi="Arial" w:cs="Arial"/>
          <w:b/>
          <w:sz w:val="24"/>
          <w:lang w:val="de-DE"/>
        </w:rPr>
        <w:t>R4-2312777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hAnsi="Arial" w:cs="Arial"/>
          <w:b/>
          <w:sz w:val="24"/>
        </w:rPr>
        <w:t>Toulouse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21</w:t>
      </w:r>
      <w:r w:rsidRPr="00C201A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25 Aug</w:t>
      </w:r>
      <w:r w:rsidRPr="00C201A3">
        <w:rPr>
          <w:rFonts w:ascii="Arial" w:hAnsi="Arial" w:cs="Arial"/>
          <w:b/>
          <w:sz w:val="24"/>
        </w:rPr>
        <w:t>, 2023</w:t>
      </w:r>
    </w:p>
    <w:p w:rsidR="00816C9D" w:rsidRPr="0031693B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p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20D07" w:rsidRPr="00C20D07">
        <w:rPr>
          <w:rFonts w:ascii="Arial" w:hAnsi="Arial" w:cs="Arial"/>
          <w:b/>
          <w:sz w:val="24"/>
          <w:szCs w:val="24"/>
        </w:rPr>
        <w:t>R18 Tx switching ambiguity issue across 3 and 4 bands</w:t>
      </w:r>
    </w:p>
    <w:p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93A39">
        <w:rPr>
          <w:rFonts w:ascii="Arial" w:hAnsi="Arial" w:cs="Arial"/>
          <w:b/>
          <w:sz w:val="24"/>
          <w:szCs w:val="24"/>
        </w:rPr>
        <w:t>8.23.2.1</w:t>
      </w:r>
    </w:p>
    <w:p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:rsidR="00597583" w:rsidRDefault="00093A39" w:rsidP="00597583">
      <w:pPr>
        <w:spacing w:after="0"/>
        <w:rPr>
          <w:rFonts w:eastAsia="Batang"/>
        </w:rPr>
      </w:pPr>
      <w:r>
        <w:rPr>
          <w:rFonts w:eastAsiaTheme="minorEastAsia"/>
          <w:lang w:eastAsia="zh-CN"/>
        </w:rPr>
        <w:t xml:space="preserve">The Tx switching ambiguity issue was discussed in past few meetings, and it seems there is still interest to continue the discussion, and WF [1] was agreed to capture this issue. </w:t>
      </w:r>
      <w:r w:rsidR="00597583">
        <w:rPr>
          <w:rFonts w:eastAsiaTheme="minorEastAsia"/>
          <w:lang w:eastAsia="zh-CN"/>
        </w:rPr>
        <w:t>T</w:t>
      </w:r>
      <w:r w:rsidR="00597583">
        <w:rPr>
          <w:rFonts w:eastAsia="Batang"/>
        </w:rPr>
        <w:t xml:space="preserve">his paper will discuss </w:t>
      </w:r>
      <w:r w:rsidR="008F3A2C">
        <w:rPr>
          <w:rFonts w:eastAsia="Batang"/>
        </w:rPr>
        <w:t>it</w:t>
      </w:r>
      <w:r w:rsidR="00597583">
        <w:rPr>
          <w:rFonts w:eastAsia="Batang"/>
        </w:rPr>
        <w:t>.</w:t>
      </w:r>
    </w:p>
    <w:p w:rsidR="00D25B61" w:rsidRDefault="00D25B61" w:rsidP="001E268E">
      <w:pPr>
        <w:spacing w:after="0"/>
        <w:rPr>
          <w:rFonts w:eastAsia="Batan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D25B61" w:rsidTr="00A73AE6">
        <w:tc>
          <w:tcPr>
            <w:tcW w:w="9962" w:type="dxa"/>
            <w:shd w:val="clear" w:color="auto" w:fill="auto"/>
          </w:tcPr>
          <w:p w:rsidR="008F3A2C" w:rsidRPr="008F3A2C" w:rsidRDefault="008F3A2C" w:rsidP="008F3A2C">
            <w:pPr>
              <w:pStyle w:val="af5"/>
              <w:numPr>
                <w:ilvl w:val="0"/>
                <w:numId w:val="11"/>
              </w:numPr>
              <w:snapToGrid w:val="0"/>
              <w:spacing w:after="120" w:line="240" w:lineRule="auto"/>
              <w:ind w:left="284" w:hanging="28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8F3A2C">
              <w:rPr>
                <w:rFonts w:ascii="Times New Roman" w:hAnsi="Times New Roman"/>
                <w:sz w:val="20"/>
                <w:szCs w:val="20"/>
              </w:rPr>
              <w:t>Proposals on the solutions to resolve the switching pattern ambiguity issue:</w:t>
            </w:r>
          </w:p>
          <w:p w:rsidR="008F3A2C" w:rsidRPr="008F3A2C" w:rsidRDefault="008F3A2C" w:rsidP="008F3A2C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 w:line="240" w:lineRule="auto"/>
              <w:ind w:left="936"/>
              <w:contextualSpacing w:val="0"/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</w:pPr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 xml:space="preserve">RAN4 to agree on the </w:t>
            </w:r>
            <w:r w:rsidRPr="008F3A2C">
              <w:rPr>
                <w:rFonts w:ascii="Times New Roman" w:eastAsia="PMingLiU" w:hAnsi="Times New Roman"/>
                <w:iCs/>
                <w:sz w:val="20"/>
                <w:szCs w:val="20"/>
                <w:lang w:eastAsia="zh-TW"/>
              </w:rPr>
              <w:t>band ordering</w:t>
            </w:r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 xml:space="preserve"> based approach to resolve the ambiguity issue</w:t>
            </w:r>
            <w:r w:rsidRPr="008F3A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for the parallel switching of two Tx chain in the case {1T, 1T, 0T, 0T} to {0T, 0T, 1T, 1T} on bands {A, B, C, D}:</w:t>
            </w:r>
          </w:p>
          <w:p w:rsidR="008F3A2C" w:rsidRPr="008F3A2C" w:rsidRDefault="008F3A2C" w:rsidP="008F3A2C">
            <w:pPr>
              <w:widowControl w:val="0"/>
              <w:numPr>
                <w:ilvl w:val="2"/>
                <w:numId w:val="14"/>
              </w:numPr>
              <w:tabs>
                <w:tab w:val="left" w:pos="484"/>
                <w:tab w:val="left" w:pos="709"/>
                <w:tab w:val="left" w:pos="851"/>
                <w:tab w:val="left" w:pos="1440"/>
                <w:tab w:val="left" w:pos="1701"/>
                <w:tab w:val="left" w:pos="1800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1" w:hanging="227"/>
              <w:textAlignment w:val="baseline"/>
              <w:rPr>
                <w:rFonts w:eastAsia="Yu Mincho"/>
                <w:bCs/>
              </w:rPr>
            </w:pPr>
            <w:r w:rsidRPr="008F3A2C">
              <w:rPr>
                <w:rFonts w:eastAsia="Yu Mincho"/>
                <w:bCs/>
              </w:rPr>
              <w:t>Associating the ordering of bands for defining switch-from and switch-to pairs in switching configuration commands may resolve the ambiguity issue without additional cost.</w:t>
            </w:r>
          </w:p>
          <w:p w:rsidR="008F3A2C" w:rsidRPr="008F3A2C" w:rsidRDefault="008F3A2C" w:rsidP="008F3A2C">
            <w:pPr>
              <w:widowControl w:val="0"/>
              <w:numPr>
                <w:ilvl w:val="2"/>
                <w:numId w:val="14"/>
              </w:numPr>
              <w:tabs>
                <w:tab w:val="left" w:pos="484"/>
                <w:tab w:val="left" w:pos="709"/>
                <w:tab w:val="left" w:pos="851"/>
                <w:tab w:val="left" w:pos="1440"/>
                <w:tab w:val="left" w:pos="1701"/>
                <w:tab w:val="left" w:pos="1800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1" w:hanging="227"/>
              <w:textAlignment w:val="baseline"/>
              <w:rPr>
                <w:rFonts w:eastAsia="Yu Mincho"/>
                <w:bCs/>
              </w:rPr>
            </w:pPr>
            <w:r w:rsidRPr="008F3A2C">
              <w:rPr>
                <w:rFonts w:eastAsia="Yu Mincho"/>
                <w:bCs/>
              </w:rPr>
              <w:t xml:space="preserve">Introduce new per Tx chain-based Tx switching capability </w:t>
            </w:r>
          </w:p>
          <w:p w:rsidR="008F3A2C" w:rsidRPr="008F3A2C" w:rsidRDefault="008F3A2C" w:rsidP="008F3A2C">
            <w:pPr>
              <w:widowControl w:val="0"/>
              <w:numPr>
                <w:ilvl w:val="2"/>
                <w:numId w:val="14"/>
              </w:numPr>
              <w:tabs>
                <w:tab w:val="left" w:pos="484"/>
                <w:tab w:val="left" w:pos="709"/>
                <w:tab w:val="left" w:pos="851"/>
                <w:tab w:val="left" w:pos="1440"/>
                <w:tab w:val="left" w:pos="1701"/>
                <w:tab w:val="left" w:pos="1800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1" w:hanging="227"/>
              <w:textAlignment w:val="baseline"/>
              <w:rPr>
                <w:rFonts w:eastAsia="Yu Mincho"/>
                <w:bCs/>
              </w:rPr>
            </w:pPr>
            <w:r w:rsidRPr="008F3A2C">
              <w:rPr>
                <w:rFonts w:eastAsia="Yu Mincho"/>
                <w:bCs/>
              </w:rPr>
              <w:t xml:space="preserve">Introduce optional UE capability on supporting the band ordering based approach to resolve ambiguity issue </w:t>
            </w:r>
          </w:p>
          <w:p w:rsidR="00D25B61" w:rsidRPr="008F3A2C" w:rsidRDefault="008F3A2C" w:rsidP="008F3A2C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 w:line="240" w:lineRule="auto"/>
              <w:ind w:left="936"/>
              <w:contextualSpacing w:val="0"/>
              <w:rPr>
                <w:sz w:val="20"/>
                <w:szCs w:val="20"/>
              </w:rPr>
            </w:pPr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Supporting the capability means the switching period is improved to min {</w:t>
            </w:r>
            <w:proofErr w:type="gramStart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max(</w:t>
            </w:r>
            <w:proofErr w:type="spellStart"/>
            <w:proofErr w:type="gramEnd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Tswitch_A</w:t>
            </w:r>
            <w:proofErr w:type="spellEnd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 xml:space="preserve">-C, </w:t>
            </w:r>
            <w:proofErr w:type="spellStart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Tswitch_B</w:t>
            </w:r>
            <w:proofErr w:type="spellEnd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-D), max(</w:t>
            </w:r>
            <w:proofErr w:type="spellStart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Tswitch_A</w:t>
            </w:r>
            <w:proofErr w:type="spellEnd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 xml:space="preserve">-D, </w:t>
            </w:r>
            <w:proofErr w:type="spellStart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Tswitch_B</w:t>
            </w:r>
            <w:proofErr w:type="spellEnd"/>
            <w:r w:rsidRPr="008F3A2C">
              <w:rPr>
                <w:rFonts w:ascii="Times New Roman" w:eastAsia="PMingLiU" w:hAnsi="Times New Roman"/>
                <w:bCs/>
                <w:iCs/>
                <w:sz w:val="20"/>
                <w:szCs w:val="20"/>
                <w:lang w:eastAsia="zh-TW"/>
              </w:rPr>
              <w:t>-C)}</w:t>
            </w:r>
          </w:p>
        </w:tc>
      </w:tr>
    </w:tbl>
    <w:p w:rsidR="0080215D" w:rsidRDefault="0080215D" w:rsidP="001E268E">
      <w:pPr>
        <w:spacing w:after="0"/>
        <w:rPr>
          <w:rFonts w:eastAsia="Batang"/>
        </w:rPr>
      </w:pPr>
    </w:p>
    <w:p w:rsidR="00004BD4" w:rsidRDefault="00342BB6" w:rsidP="00004BD4">
      <w:pPr>
        <w:pStyle w:val="1"/>
        <w:numPr>
          <w:ilvl w:val="0"/>
          <w:numId w:val="3"/>
        </w:numPr>
      </w:pPr>
      <w:bookmarkStart w:id="2" w:name="_Hlk126176045"/>
      <w:r>
        <w:t>Discussion</w:t>
      </w:r>
    </w:p>
    <w:p w:rsidR="00093A39" w:rsidRDefault="00093A39" w:rsidP="00093A39">
      <w:pPr>
        <w:rPr>
          <w:rFonts w:eastAsia="等线"/>
          <w:lang w:eastAsia="zh-CN"/>
        </w:rPr>
      </w:pPr>
      <w:bookmarkStart w:id="3" w:name="_Hlk134725778"/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switching period among 4 bands when switching from 1T+1T on band A+B to 1T+1T on band C+D was already agreed</w:t>
      </w:r>
      <w:bookmarkEnd w:id="3"/>
      <w:r>
        <w:rPr>
          <w:rFonts w:eastAsia="等线"/>
          <w:lang w:eastAsia="zh-CN"/>
        </w:rPr>
        <w:t xml:space="preserve"> in meetings ago, and send LS [</w:t>
      </w:r>
      <w:r w:rsidR="008F3A2C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] to RAN1 and RAN2 as below.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3A39" w:rsidTr="00155A90">
        <w:tc>
          <w:tcPr>
            <w:tcW w:w="9631" w:type="dxa"/>
          </w:tcPr>
          <w:p w:rsidR="00093A39" w:rsidRPr="004F2D35" w:rsidRDefault="00093A39" w:rsidP="00155A90">
            <w:pPr>
              <w:spacing w:afterLines="50" w:after="120"/>
              <w:rPr>
                <w:b/>
                <w:bCs/>
                <w:iCs/>
              </w:rPr>
            </w:pPr>
            <w:r w:rsidRPr="004F2D35">
              <w:rPr>
                <w:b/>
                <w:bCs/>
                <w:iCs/>
              </w:rPr>
              <w:t>Issue 2: Ambiguity issue when two Tx chains are switched between two different band pairs</w:t>
            </w:r>
          </w:p>
          <w:p w:rsidR="00093A39" w:rsidRPr="004F2D35" w:rsidRDefault="00093A39" w:rsidP="00155A90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Cs/>
                <w:iCs/>
              </w:rPr>
            </w:pPr>
            <w:r w:rsidRPr="004F2D35">
              <w:rPr>
                <w:bCs/>
                <w:iCs/>
              </w:rPr>
              <w:t xml:space="preserve">For Rel-18 UL </w:t>
            </w:r>
            <w:r w:rsidRPr="002920FB">
              <w:rPr>
                <w:bCs/>
                <w:iCs/>
              </w:rPr>
              <w:t>Tx switching among 4 bands, when switching from 1T+1T on band A and B to 1T+1T on band C and D is performed, and it is not clear whether UE performs Tx switching {from band A to C + B to D} or {from band A to D + B to C}, RAN4 agreed that:</w:t>
            </w:r>
          </w:p>
          <w:p w:rsidR="00093A39" w:rsidRPr="004F2D35" w:rsidRDefault="00093A39" w:rsidP="00093A39">
            <w:pPr>
              <w:numPr>
                <w:ilvl w:val="0"/>
                <w:numId w:val="13"/>
              </w:numPr>
              <w:tabs>
                <w:tab w:val="num" w:pos="851"/>
                <w:tab w:val="num" w:pos="1440"/>
                <w:tab w:val="center" w:pos="4153"/>
                <w:tab w:val="right" w:pos="8306"/>
              </w:tabs>
              <w:snapToGrid w:val="0"/>
              <w:spacing w:after="120"/>
              <w:ind w:leftChars="71" w:left="422" w:hangingChars="140" w:hanging="280"/>
              <w:rPr>
                <w:szCs w:val="21"/>
              </w:rPr>
            </w:pPr>
            <w:r w:rsidRPr="004F2D35">
              <w:rPr>
                <w:szCs w:val="21"/>
              </w:rPr>
              <w:t xml:space="preserve">As baseline UE assumption, </w:t>
            </w:r>
            <w:r w:rsidRPr="001A6E05">
              <w:rPr>
                <w:szCs w:val="21"/>
                <w:highlight w:val="lightGray"/>
              </w:rPr>
              <w:t xml:space="preserve">no need to resolve the ambiguity issue of the switching pattern for </w:t>
            </w:r>
            <w:r w:rsidRPr="001A6E05">
              <w:rPr>
                <w:rFonts w:eastAsia="MS Gothic"/>
                <w:szCs w:val="21"/>
                <w:highlight w:val="lightGray"/>
              </w:rPr>
              <w:t>each</w:t>
            </w:r>
            <w:r w:rsidRPr="001A6E05">
              <w:rPr>
                <w:szCs w:val="21"/>
                <w:highlight w:val="lightGray"/>
              </w:rPr>
              <w:t xml:space="preserve"> Tx chain and </w:t>
            </w:r>
            <w:r w:rsidRPr="001A6E05">
              <w:rPr>
                <w:bCs/>
                <w:iCs/>
                <w:highlight w:val="lightGray"/>
              </w:rPr>
              <w:t>determine</w:t>
            </w:r>
            <w:r w:rsidRPr="001A6E05">
              <w:rPr>
                <w:szCs w:val="21"/>
                <w:highlight w:val="lightGray"/>
              </w:rPr>
              <w:t xml:space="preserve"> the switching gap based on the worst case by default, </w:t>
            </w:r>
            <w:r w:rsidRPr="002920FB">
              <w:rPr>
                <w:szCs w:val="21"/>
              </w:rPr>
              <w:t xml:space="preserve">i.e., neither of the two Tx chains is expected to be used for transmission during the maximum of the four </w:t>
            </w:r>
            <w:r w:rsidRPr="002920FB">
              <w:rPr>
                <w:bCs/>
                <w:szCs w:val="21"/>
              </w:rPr>
              <w:t>switching periods,</w:t>
            </w:r>
            <w:r w:rsidRPr="004F2D35">
              <w:rPr>
                <w:bCs/>
                <w:szCs w:val="21"/>
              </w:rPr>
              <w:t xml:space="preserve"> i.e., </w:t>
            </w:r>
            <w:r w:rsidRPr="001A6E05">
              <w:rPr>
                <w:bCs/>
                <w:szCs w:val="21"/>
                <w:highlight w:val="lightGray"/>
              </w:rPr>
              <w:t>max {</w:t>
            </w:r>
            <w:proofErr w:type="spellStart"/>
            <w:r w:rsidRPr="001A6E05">
              <w:rPr>
                <w:bCs/>
                <w:szCs w:val="21"/>
                <w:highlight w:val="lightGray"/>
              </w:rPr>
              <w:t>T</w:t>
            </w:r>
            <w:r w:rsidRPr="001A6E05">
              <w:rPr>
                <w:bCs/>
                <w:szCs w:val="21"/>
                <w:highlight w:val="lightGray"/>
                <w:vertAlign w:val="subscript"/>
              </w:rPr>
              <w:t>switch_A</w:t>
            </w:r>
            <w:proofErr w:type="spellEnd"/>
            <w:r w:rsidRPr="001A6E05">
              <w:rPr>
                <w:bCs/>
                <w:szCs w:val="21"/>
                <w:highlight w:val="lightGray"/>
                <w:vertAlign w:val="subscript"/>
              </w:rPr>
              <w:t>-C</w:t>
            </w:r>
            <w:r w:rsidRPr="001A6E05">
              <w:rPr>
                <w:bCs/>
                <w:szCs w:val="21"/>
                <w:highlight w:val="lightGray"/>
              </w:rPr>
              <w:t xml:space="preserve">, </w:t>
            </w:r>
            <w:proofErr w:type="spellStart"/>
            <w:r w:rsidRPr="001A6E05">
              <w:rPr>
                <w:bCs/>
                <w:szCs w:val="21"/>
                <w:highlight w:val="lightGray"/>
              </w:rPr>
              <w:t>T</w:t>
            </w:r>
            <w:r w:rsidRPr="001A6E05">
              <w:rPr>
                <w:bCs/>
                <w:szCs w:val="21"/>
                <w:highlight w:val="lightGray"/>
                <w:vertAlign w:val="subscript"/>
              </w:rPr>
              <w:t>switch_B</w:t>
            </w:r>
            <w:proofErr w:type="spellEnd"/>
            <w:r w:rsidRPr="001A6E05">
              <w:rPr>
                <w:bCs/>
                <w:szCs w:val="21"/>
                <w:highlight w:val="lightGray"/>
                <w:vertAlign w:val="subscript"/>
              </w:rPr>
              <w:t>-D</w:t>
            </w:r>
            <w:r w:rsidRPr="001A6E05">
              <w:rPr>
                <w:bCs/>
                <w:szCs w:val="21"/>
                <w:highlight w:val="lightGray"/>
              </w:rPr>
              <w:t xml:space="preserve">, </w:t>
            </w:r>
            <w:proofErr w:type="spellStart"/>
            <w:r w:rsidRPr="001A6E05">
              <w:rPr>
                <w:bCs/>
                <w:szCs w:val="21"/>
                <w:highlight w:val="lightGray"/>
              </w:rPr>
              <w:t>T</w:t>
            </w:r>
            <w:r w:rsidRPr="001A6E05">
              <w:rPr>
                <w:bCs/>
                <w:szCs w:val="21"/>
                <w:highlight w:val="lightGray"/>
                <w:vertAlign w:val="subscript"/>
              </w:rPr>
              <w:t>switch_A</w:t>
            </w:r>
            <w:proofErr w:type="spellEnd"/>
            <w:r w:rsidRPr="001A6E05">
              <w:rPr>
                <w:bCs/>
                <w:szCs w:val="21"/>
                <w:highlight w:val="lightGray"/>
                <w:vertAlign w:val="subscript"/>
              </w:rPr>
              <w:t>-D</w:t>
            </w:r>
            <w:r w:rsidRPr="001A6E05">
              <w:rPr>
                <w:bCs/>
                <w:szCs w:val="21"/>
                <w:highlight w:val="lightGray"/>
              </w:rPr>
              <w:t xml:space="preserve">, </w:t>
            </w:r>
            <w:proofErr w:type="spellStart"/>
            <w:r w:rsidRPr="001A6E05">
              <w:rPr>
                <w:bCs/>
                <w:szCs w:val="21"/>
                <w:highlight w:val="lightGray"/>
              </w:rPr>
              <w:t>T</w:t>
            </w:r>
            <w:r w:rsidRPr="001A6E05">
              <w:rPr>
                <w:bCs/>
                <w:szCs w:val="21"/>
                <w:highlight w:val="lightGray"/>
                <w:vertAlign w:val="subscript"/>
              </w:rPr>
              <w:t>switch_B</w:t>
            </w:r>
            <w:proofErr w:type="spellEnd"/>
            <w:r w:rsidRPr="001A6E05">
              <w:rPr>
                <w:bCs/>
                <w:szCs w:val="21"/>
                <w:highlight w:val="lightGray"/>
                <w:vertAlign w:val="subscript"/>
              </w:rPr>
              <w:t>-C</w:t>
            </w:r>
            <w:r w:rsidRPr="001A6E05">
              <w:rPr>
                <w:bCs/>
                <w:szCs w:val="21"/>
                <w:highlight w:val="lightGray"/>
              </w:rPr>
              <w:t>}.</w:t>
            </w:r>
          </w:p>
          <w:p w:rsidR="00093A39" w:rsidRDefault="00093A39" w:rsidP="00155A90">
            <w:pPr>
              <w:rPr>
                <w:rFonts w:eastAsia="等线"/>
                <w:lang w:val="en-US" w:eastAsia="zh-CN"/>
              </w:rPr>
            </w:pPr>
            <w:r w:rsidRPr="004F2D35">
              <w:rPr>
                <w:szCs w:val="21"/>
              </w:rPr>
              <w:t xml:space="preserve">Note: </w:t>
            </w:r>
            <w:proofErr w:type="spellStart"/>
            <w:r w:rsidRPr="004F2D35">
              <w:rPr>
                <w:bCs/>
                <w:szCs w:val="21"/>
              </w:rPr>
              <w:t>T</w:t>
            </w:r>
            <w:r w:rsidRPr="004F2D35">
              <w:rPr>
                <w:bCs/>
                <w:szCs w:val="21"/>
                <w:vertAlign w:val="subscript"/>
              </w:rPr>
              <w:t>switch_A</w:t>
            </w:r>
            <w:proofErr w:type="spellEnd"/>
            <w:r w:rsidRPr="004F2D35">
              <w:rPr>
                <w:bCs/>
                <w:szCs w:val="21"/>
                <w:vertAlign w:val="subscript"/>
              </w:rPr>
              <w:t>-C</w:t>
            </w:r>
            <w:r w:rsidRPr="004F2D35">
              <w:rPr>
                <w:bCs/>
                <w:szCs w:val="21"/>
              </w:rPr>
              <w:t xml:space="preserve">, </w:t>
            </w:r>
            <w:proofErr w:type="spellStart"/>
            <w:r w:rsidRPr="004F2D35">
              <w:rPr>
                <w:bCs/>
                <w:szCs w:val="21"/>
              </w:rPr>
              <w:t>T</w:t>
            </w:r>
            <w:r w:rsidRPr="004F2D35">
              <w:rPr>
                <w:bCs/>
                <w:szCs w:val="21"/>
                <w:vertAlign w:val="subscript"/>
              </w:rPr>
              <w:t>switch_B</w:t>
            </w:r>
            <w:proofErr w:type="spellEnd"/>
            <w:r w:rsidRPr="004F2D35">
              <w:rPr>
                <w:bCs/>
                <w:szCs w:val="21"/>
                <w:vertAlign w:val="subscript"/>
              </w:rPr>
              <w:t>-D</w:t>
            </w:r>
            <w:r w:rsidRPr="004F2D35">
              <w:rPr>
                <w:bCs/>
                <w:szCs w:val="21"/>
              </w:rPr>
              <w:t xml:space="preserve">, </w:t>
            </w:r>
            <w:proofErr w:type="spellStart"/>
            <w:r w:rsidRPr="004F2D35">
              <w:rPr>
                <w:bCs/>
                <w:szCs w:val="21"/>
              </w:rPr>
              <w:t>T</w:t>
            </w:r>
            <w:r w:rsidRPr="004F2D35">
              <w:rPr>
                <w:bCs/>
                <w:szCs w:val="21"/>
                <w:vertAlign w:val="subscript"/>
              </w:rPr>
              <w:t>switch_A</w:t>
            </w:r>
            <w:proofErr w:type="spellEnd"/>
            <w:r w:rsidRPr="004F2D35">
              <w:rPr>
                <w:bCs/>
                <w:szCs w:val="21"/>
                <w:vertAlign w:val="subscript"/>
              </w:rPr>
              <w:t>-D</w:t>
            </w:r>
            <w:r w:rsidRPr="004F2D35">
              <w:rPr>
                <w:bCs/>
                <w:szCs w:val="21"/>
              </w:rPr>
              <w:t xml:space="preserve">, </w:t>
            </w:r>
            <w:proofErr w:type="spellStart"/>
            <w:r w:rsidRPr="004F2D35">
              <w:rPr>
                <w:bCs/>
                <w:szCs w:val="21"/>
              </w:rPr>
              <w:t>T</w:t>
            </w:r>
            <w:r w:rsidRPr="004F2D35">
              <w:rPr>
                <w:bCs/>
                <w:szCs w:val="21"/>
                <w:vertAlign w:val="subscript"/>
              </w:rPr>
              <w:t>switch_B</w:t>
            </w:r>
            <w:proofErr w:type="spellEnd"/>
            <w:r w:rsidRPr="004F2D35">
              <w:rPr>
                <w:bCs/>
                <w:szCs w:val="21"/>
                <w:vertAlign w:val="subscript"/>
              </w:rPr>
              <w:t xml:space="preserve">-C </w:t>
            </w:r>
            <w:r w:rsidRPr="004F2D35">
              <w:rPr>
                <w:bCs/>
                <w:szCs w:val="21"/>
              </w:rPr>
              <w:t>are the switching periods reported by the UE for band pair A&amp;C, B&amp;D,</w:t>
            </w:r>
            <w:r>
              <w:rPr>
                <w:bCs/>
                <w:szCs w:val="21"/>
              </w:rPr>
              <w:t xml:space="preserve"> </w:t>
            </w:r>
            <w:r w:rsidRPr="004F2D35">
              <w:rPr>
                <w:bCs/>
                <w:szCs w:val="21"/>
              </w:rPr>
              <w:t>A&amp;D and B&amp;C, respectively.</w:t>
            </w:r>
          </w:p>
        </w:tc>
      </w:tr>
    </w:tbl>
    <w:p w:rsidR="00093A39" w:rsidRDefault="00093A39" w:rsidP="00093A39">
      <w:pPr>
        <w:spacing w:after="0"/>
        <w:rPr>
          <w:rFonts w:eastAsia="等线"/>
          <w:lang w:val="en-US" w:eastAsia="zh-CN"/>
        </w:rPr>
      </w:pPr>
    </w:p>
    <w:p w:rsidR="00093A39" w:rsidRPr="005F7354" w:rsidRDefault="00093A39" w:rsidP="00093A39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D66E5A"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A04E22">
        <w:rPr>
          <w:rFonts w:eastAsia="等线"/>
          <w:b/>
          <w:lang w:val="en-US" w:eastAsia="zh-CN"/>
        </w:rPr>
        <w:t xml:space="preserve">The switching period among 4 bands </w:t>
      </w:r>
      <w:r>
        <w:rPr>
          <w:rFonts w:eastAsia="等线"/>
          <w:b/>
          <w:lang w:val="en-US" w:eastAsia="zh-CN"/>
        </w:rPr>
        <w:t xml:space="preserve">was agreed as </w:t>
      </w:r>
      <w:r w:rsidRPr="00A04E22">
        <w:rPr>
          <w:b/>
          <w:bCs/>
          <w:szCs w:val="21"/>
        </w:rPr>
        <w:t>max {</w:t>
      </w:r>
      <w:proofErr w:type="spellStart"/>
      <w:r w:rsidRPr="00A04E22">
        <w:rPr>
          <w:b/>
          <w:bCs/>
          <w:szCs w:val="21"/>
        </w:rPr>
        <w:t>T</w:t>
      </w:r>
      <w:r w:rsidRPr="00A04E22">
        <w:rPr>
          <w:b/>
          <w:bCs/>
          <w:szCs w:val="21"/>
          <w:vertAlign w:val="subscript"/>
        </w:rPr>
        <w:t>switch_A</w:t>
      </w:r>
      <w:proofErr w:type="spellEnd"/>
      <w:r w:rsidRPr="00A04E22">
        <w:rPr>
          <w:b/>
          <w:bCs/>
          <w:szCs w:val="21"/>
          <w:vertAlign w:val="subscript"/>
        </w:rPr>
        <w:t>-C</w:t>
      </w:r>
      <w:r w:rsidRPr="00A04E22">
        <w:rPr>
          <w:b/>
          <w:bCs/>
          <w:szCs w:val="21"/>
        </w:rPr>
        <w:t xml:space="preserve">, </w:t>
      </w:r>
      <w:proofErr w:type="spellStart"/>
      <w:r w:rsidRPr="00A04E22">
        <w:rPr>
          <w:b/>
          <w:bCs/>
          <w:szCs w:val="21"/>
        </w:rPr>
        <w:t>T</w:t>
      </w:r>
      <w:r w:rsidRPr="00A04E22">
        <w:rPr>
          <w:b/>
          <w:bCs/>
          <w:szCs w:val="21"/>
          <w:vertAlign w:val="subscript"/>
        </w:rPr>
        <w:t>switch_B</w:t>
      </w:r>
      <w:proofErr w:type="spellEnd"/>
      <w:r w:rsidRPr="00A04E22">
        <w:rPr>
          <w:b/>
          <w:bCs/>
          <w:szCs w:val="21"/>
          <w:vertAlign w:val="subscript"/>
        </w:rPr>
        <w:t>-D</w:t>
      </w:r>
      <w:r w:rsidRPr="00A04E22">
        <w:rPr>
          <w:b/>
          <w:bCs/>
          <w:szCs w:val="21"/>
        </w:rPr>
        <w:t xml:space="preserve">, </w:t>
      </w:r>
      <w:proofErr w:type="spellStart"/>
      <w:r w:rsidRPr="00A04E22">
        <w:rPr>
          <w:b/>
          <w:bCs/>
          <w:szCs w:val="21"/>
        </w:rPr>
        <w:t>T</w:t>
      </w:r>
      <w:r w:rsidRPr="00A04E22">
        <w:rPr>
          <w:b/>
          <w:bCs/>
          <w:szCs w:val="21"/>
          <w:vertAlign w:val="subscript"/>
        </w:rPr>
        <w:t>switch_A</w:t>
      </w:r>
      <w:proofErr w:type="spellEnd"/>
      <w:r w:rsidRPr="00A04E22">
        <w:rPr>
          <w:b/>
          <w:bCs/>
          <w:szCs w:val="21"/>
          <w:vertAlign w:val="subscript"/>
        </w:rPr>
        <w:t>-D</w:t>
      </w:r>
      <w:r w:rsidRPr="00A04E22">
        <w:rPr>
          <w:b/>
          <w:bCs/>
          <w:szCs w:val="21"/>
        </w:rPr>
        <w:t xml:space="preserve">, </w:t>
      </w:r>
      <w:proofErr w:type="spellStart"/>
      <w:r w:rsidRPr="00A04E22">
        <w:rPr>
          <w:b/>
          <w:bCs/>
          <w:szCs w:val="21"/>
        </w:rPr>
        <w:t>T</w:t>
      </w:r>
      <w:r w:rsidRPr="00A04E22">
        <w:rPr>
          <w:b/>
          <w:bCs/>
          <w:szCs w:val="21"/>
          <w:vertAlign w:val="subscript"/>
        </w:rPr>
        <w:t>switch_B</w:t>
      </w:r>
      <w:proofErr w:type="spellEnd"/>
      <w:r w:rsidRPr="00A04E22">
        <w:rPr>
          <w:b/>
          <w:bCs/>
          <w:szCs w:val="21"/>
          <w:vertAlign w:val="subscript"/>
        </w:rPr>
        <w:t>-C</w:t>
      </w:r>
      <w:r w:rsidRPr="00A04E22">
        <w:rPr>
          <w:b/>
          <w:bCs/>
          <w:szCs w:val="21"/>
        </w:rPr>
        <w:t>}</w:t>
      </w:r>
      <w:r>
        <w:rPr>
          <w:rFonts w:eastAsia="等线"/>
          <w:b/>
          <w:lang w:val="en-US" w:eastAsia="zh-CN"/>
        </w:rPr>
        <w:t>.</w:t>
      </w:r>
    </w:p>
    <w:p w:rsidR="00454E83" w:rsidRDefault="00093A39" w:rsidP="00093A3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hen in the past meetings, </w:t>
      </w:r>
      <w:r w:rsidR="00D66E5A">
        <w:rPr>
          <w:rFonts w:eastAsia="等线"/>
          <w:lang w:val="en-US" w:eastAsia="zh-CN"/>
        </w:rPr>
        <w:t xml:space="preserve">several candidate approaches were proposed to optimize this switching period as captured in WF [1] and several other papers. </w:t>
      </w:r>
    </w:p>
    <w:p w:rsidR="00D66E5A" w:rsidRDefault="00D66E5A" w:rsidP="00093A39">
      <w:pPr>
        <w:rPr>
          <w:bCs/>
          <w:szCs w:val="21"/>
        </w:rPr>
      </w:pPr>
      <w:r>
        <w:rPr>
          <w:rFonts w:eastAsia="等线"/>
          <w:lang w:val="en-US" w:eastAsia="zh-CN"/>
        </w:rPr>
        <w:t xml:space="preserve">Meanwhile, it should be noticed that in last meeting, the UE capability of </w:t>
      </w:r>
      <w:r w:rsidR="00454E83" w:rsidRPr="00454E83">
        <w:rPr>
          <w:rFonts w:eastAsia="等线"/>
          <w:i/>
          <w:lang w:val="en-US" w:eastAsia="zh-CN"/>
        </w:rPr>
        <w:t>uplinkTxSwitchingPeriod1T1Tto1T1T</w:t>
      </w:r>
      <w:r w:rsidR="00454E83">
        <w:rPr>
          <w:rFonts w:eastAsia="等线"/>
          <w:lang w:val="en-US" w:eastAsia="zh-CN"/>
        </w:rPr>
        <w:t xml:space="preserve"> </w:t>
      </w:r>
      <w:r w:rsidR="006B7D69">
        <w:rPr>
          <w:rFonts w:eastAsia="等线"/>
          <w:lang w:val="en-US" w:eastAsia="zh-CN"/>
        </w:rPr>
        <w:t>was</w:t>
      </w:r>
      <w:r w:rsidR="00454E83">
        <w:rPr>
          <w:rFonts w:eastAsia="等线"/>
          <w:lang w:val="en-US" w:eastAsia="zh-CN"/>
        </w:rPr>
        <w:t xml:space="preserve"> introduced </w:t>
      </w:r>
      <w:r w:rsidR="00A24404">
        <w:rPr>
          <w:rFonts w:eastAsia="等线"/>
          <w:lang w:val="en-US" w:eastAsia="zh-CN"/>
        </w:rPr>
        <w:t xml:space="preserve">[3] as below table, </w:t>
      </w:r>
      <w:r w:rsidR="00454E83">
        <w:rPr>
          <w:rFonts w:eastAsia="等线"/>
          <w:lang w:val="en-US" w:eastAsia="zh-CN"/>
        </w:rPr>
        <w:t xml:space="preserve">which actually can be used to indicate the exact switching period that UE used in the switching case of </w:t>
      </w:r>
      <w:r w:rsidR="00454E83" w:rsidRPr="002920FB">
        <w:rPr>
          <w:bCs/>
          <w:iCs/>
        </w:rPr>
        <w:t>from 1T+1T on band A and B to 1T+1T on band C and D</w:t>
      </w:r>
      <w:r w:rsidR="00454E83">
        <w:rPr>
          <w:rFonts w:eastAsia="等线"/>
          <w:lang w:val="en-US" w:eastAsia="zh-CN"/>
        </w:rPr>
        <w:t xml:space="preserve">. </w:t>
      </w:r>
      <w:r w:rsidR="006B7D69">
        <w:rPr>
          <w:rFonts w:eastAsia="等线"/>
          <w:lang w:val="en-US" w:eastAsia="zh-CN"/>
        </w:rPr>
        <w:t xml:space="preserve">It means, if UE indicate the capability of </w:t>
      </w:r>
      <w:r w:rsidR="006B7D69" w:rsidRPr="00454E83">
        <w:rPr>
          <w:rFonts w:eastAsia="等线"/>
          <w:i/>
          <w:lang w:val="en-US" w:eastAsia="zh-CN"/>
        </w:rPr>
        <w:t>uplinkTxSwitchingPeriod1T1Tto1T1T</w:t>
      </w:r>
      <w:r w:rsidR="006B7D69">
        <w:rPr>
          <w:rFonts w:eastAsia="等线"/>
          <w:lang w:val="en-US" w:eastAsia="zh-CN"/>
        </w:rPr>
        <w:t xml:space="preserve">, then the exact switching period is known to NW, and the ambiguity issue is </w:t>
      </w:r>
      <w:r w:rsidR="006B7D69">
        <w:rPr>
          <w:rFonts w:eastAsia="等线"/>
          <w:lang w:val="en-US" w:eastAsia="zh-CN"/>
        </w:rPr>
        <w:lastRenderedPageBreak/>
        <w:t xml:space="preserve">solved. And if UE doesn’t indicate the capability, then the baseline UE behavior is used, i.e. </w:t>
      </w:r>
      <w:r w:rsidR="006B7D69" w:rsidRPr="006B7D69">
        <w:rPr>
          <w:bCs/>
          <w:szCs w:val="21"/>
        </w:rPr>
        <w:t>max {</w:t>
      </w:r>
      <w:proofErr w:type="spellStart"/>
      <w:r w:rsidR="006B7D69" w:rsidRPr="006B7D69">
        <w:rPr>
          <w:bCs/>
          <w:szCs w:val="21"/>
        </w:rPr>
        <w:t>T</w:t>
      </w:r>
      <w:r w:rsidR="006B7D69" w:rsidRPr="006B7D69">
        <w:rPr>
          <w:bCs/>
          <w:szCs w:val="21"/>
          <w:vertAlign w:val="subscript"/>
        </w:rPr>
        <w:t>switch_A</w:t>
      </w:r>
      <w:proofErr w:type="spellEnd"/>
      <w:r w:rsidR="006B7D69" w:rsidRPr="006B7D69">
        <w:rPr>
          <w:bCs/>
          <w:szCs w:val="21"/>
          <w:vertAlign w:val="subscript"/>
        </w:rPr>
        <w:t>-C</w:t>
      </w:r>
      <w:r w:rsidR="006B7D69" w:rsidRPr="006B7D69">
        <w:rPr>
          <w:bCs/>
          <w:szCs w:val="21"/>
        </w:rPr>
        <w:t xml:space="preserve">, </w:t>
      </w:r>
      <w:proofErr w:type="spellStart"/>
      <w:r w:rsidR="006B7D69" w:rsidRPr="006B7D69">
        <w:rPr>
          <w:bCs/>
          <w:szCs w:val="21"/>
        </w:rPr>
        <w:t>T</w:t>
      </w:r>
      <w:r w:rsidR="006B7D69" w:rsidRPr="006B7D69">
        <w:rPr>
          <w:bCs/>
          <w:szCs w:val="21"/>
          <w:vertAlign w:val="subscript"/>
        </w:rPr>
        <w:t>switch_B</w:t>
      </w:r>
      <w:proofErr w:type="spellEnd"/>
      <w:r w:rsidR="006B7D69" w:rsidRPr="006B7D69">
        <w:rPr>
          <w:bCs/>
          <w:szCs w:val="21"/>
          <w:vertAlign w:val="subscript"/>
        </w:rPr>
        <w:t>-D</w:t>
      </w:r>
      <w:r w:rsidR="006B7D69" w:rsidRPr="006B7D69">
        <w:rPr>
          <w:bCs/>
          <w:szCs w:val="21"/>
        </w:rPr>
        <w:t xml:space="preserve">, </w:t>
      </w:r>
      <w:proofErr w:type="spellStart"/>
      <w:r w:rsidR="006B7D69" w:rsidRPr="006B7D69">
        <w:rPr>
          <w:bCs/>
          <w:szCs w:val="21"/>
        </w:rPr>
        <w:t>T</w:t>
      </w:r>
      <w:r w:rsidR="006B7D69" w:rsidRPr="006B7D69">
        <w:rPr>
          <w:bCs/>
          <w:szCs w:val="21"/>
          <w:vertAlign w:val="subscript"/>
        </w:rPr>
        <w:t>switch_A</w:t>
      </w:r>
      <w:proofErr w:type="spellEnd"/>
      <w:r w:rsidR="006B7D69" w:rsidRPr="006B7D69">
        <w:rPr>
          <w:bCs/>
          <w:szCs w:val="21"/>
          <w:vertAlign w:val="subscript"/>
        </w:rPr>
        <w:t>-D</w:t>
      </w:r>
      <w:r w:rsidR="006B7D69" w:rsidRPr="006B7D69">
        <w:rPr>
          <w:bCs/>
          <w:szCs w:val="21"/>
        </w:rPr>
        <w:t xml:space="preserve">, </w:t>
      </w:r>
      <w:proofErr w:type="spellStart"/>
      <w:r w:rsidR="006B7D69" w:rsidRPr="006B7D69">
        <w:rPr>
          <w:bCs/>
          <w:szCs w:val="21"/>
        </w:rPr>
        <w:t>T</w:t>
      </w:r>
      <w:r w:rsidR="006B7D69" w:rsidRPr="006B7D69">
        <w:rPr>
          <w:bCs/>
          <w:szCs w:val="21"/>
          <w:vertAlign w:val="subscript"/>
        </w:rPr>
        <w:t>switch_B</w:t>
      </w:r>
      <w:proofErr w:type="spellEnd"/>
      <w:r w:rsidR="006B7D69" w:rsidRPr="006B7D69">
        <w:rPr>
          <w:bCs/>
          <w:szCs w:val="21"/>
          <w:vertAlign w:val="subscript"/>
        </w:rPr>
        <w:t>-C</w:t>
      </w:r>
      <w:r w:rsidR="006B7D69" w:rsidRPr="006B7D69">
        <w:rPr>
          <w:bCs/>
          <w:szCs w:val="21"/>
        </w:rPr>
        <w:t>}</w:t>
      </w:r>
      <w:r w:rsidR="006B7D69">
        <w:rPr>
          <w:bCs/>
          <w:szCs w:val="21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B5092" w:rsidRPr="00CD5A31" w:rsidTr="00841D1C">
        <w:tc>
          <w:tcPr>
            <w:tcW w:w="9631" w:type="dxa"/>
            <w:shd w:val="clear" w:color="auto" w:fill="auto"/>
          </w:tcPr>
          <w:p w:rsidR="00BB5092" w:rsidRPr="00A24404" w:rsidRDefault="00BB5092" w:rsidP="00155A90">
            <w:pPr>
              <w:rPr>
                <w:b/>
                <w:bCs/>
                <w:iCs/>
                <w:u w:val="single"/>
              </w:rPr>
            </w:pPr>
            <w:r w:rsidRPr="00A24404">
              <w:rPr>
                <w:b/>
                <w:bCs/>
                <w:iCs/>
                <w:u w:val="single"/>
              </w:rPr>
              <w:t xml:space="preserve">Switching case across four bands, i.e., </w:t>
            </w:r>
            <w:r w:rsidRPr="00A24404">
              <w:rPr>
                <w:rFonts w:hint="eastAsia"/>
                <w:b/>
                <w:bCs/>
                <w:iCs/>
                <w:u w:val="single"/>
              </w:rPr>
              <w:t xml:space="preserve">between </w:t>
            </w:r>
            <w:r w:rsidRPr="00A24404">
              <w:rPr>
                <w:b/>
                <w:bCs/>
                <w:iCs/>
                <w:u w:val="single"/>
              </w:rPr>
              <w:t xml:space="preserve">{1T, 1T, 0T, 0T} </w:t>
            </w:r>
            <w:r w:rsidRPr="00A24404">
              <w:rPr>
                <w:rFonts w:hint="eastAsia"/>
                <w:b/>
                <w:bCs/>
                <w:iCs/>
                <w:u w:val="single"/>
              </w:rPr>
              <w:t>and</w:t>
            </w:r>
            <w:r w:rsidRPr="00A24404">
              <w:rPr>
                <w:b/>
                <w:bCs/>
                <w:iCs/>
                <w:u w:val="single"/>
              </w:rPr>
              <w:t xml:space="preserve"> {0T, 0T, 1T, 1T}</w:t>
            </w:r>
          </w:p>
          <w:p w:rsidR="00BB5092" w:rsidRPr="00A24404" w:rsidRDefault="00BB5092" w:rsidP="00A24404">
            <w:pPr>
              <w:widowControl w:val="0"/>
              <w:numPr>
                <w:ilvl w:val="0"/>
                <w:numId w:val="11"/>
              </w:numPr>
              <w:spacing w:after="0"/>
              <w:ind w:leftChars="16" w:left="392"/>
              <w:rPr>
                <w:b/>
              </w:rPr>
            </w:pPr>
            <w:r w:rsidRPr="00A24404">
              <w:rPr>
                <w:b/>
              </w:rPr>
              <w:t>Agreement:</w:t>
            </w:r>
          </w:p>
          <w:p w:rsidR="00BB5092" w:rsidRPr="00A24404" w:rsidRDefault="00BB5092" w:rsidP="00A24404">
            <w:pPr>
              <w:widowControl w:val="0"/>
              <w:numPr>
                <w:ilvl w:val="1"/>
                <w:numId w:val="15"/>
              </w:numPr>
              <w:spacing w:after="0"/>
              <w:ind w:leftChars="229" w:left="818"/>
              <w:rPr>
                <w:bCs/>
              </w:rPr>
            </w:pPr>
            <w:r w:rsidRPr="00A24404">
              <w:rPr>
                <w:bCs/>
              </w:rPr>
              <w:t xml:space="preserve">As optional UE </w:t>
            </w:r>
            <w:proofErr w:type="spellStart"/>
            <w:r w:rsidRPr="00A24404">
              <w:rPr>
                <w:bCs/>
              </w:rPr>
              <w:t>behavior</w:t>
            </w:r>
            <w:proofErr w:type="spellEnd"/>
            <w:r w:rsidRPr="00A24404">
              <w:rPr>
                <w:bCs/>
              </w:rPr>
              <w:t xml:space="preserve">, in addition to the previously agreed UE capability on per-band-pair switching period, </w:t>
            </w:r>
            <w:r w:rsidRPr="00A24404">
              <w:rPr>
                <w:bCs/>
                <w:highlight w:val="lightGray"/>
              </w:rPr>
              <w:t xml:space="preserve">UE can optionally and additionally report new switching periods capability of </w:t>
            </w:r>
            <w:r w:rsidRPr="00A24404">
              <w:rPr>
                <w:bCs/>
                <w:i/>
                <w:highlight w:val="lightGray"/>
              </w:rPr>
              <w:t>[</w:t>
            </w:r>
            <w:bookmarkStart w:id="4" w:name="_Hlk142585367"/>
            <w:r w:rsidRPr="00A24404">
              <w:rPr>
                <w:bCs/>
                <w:i/>
                <w:highlight w:val="lightGray"/>
              </w:rPr>
              <w:t>uplinkTxSwitchingPeriod1T1Tto1T1T</w:t>
            </w:r>
            <w:bookmarkEnd w:id="4"/>
            <w:r w:rsidRPr="00A24404">
              <w:rPr>
                <w:bCs/>
                <w:i/>
                <w:highlight w:val="lightGray"/>
              </w:rPr>
              <w:t>]</w:t>
            </w:r>
            <w:r w:rsidRPr="00A24404">
              <w:rPr>
                <w:bCs/>
                <w:highlight w:val="lightGray"/>
              </w:rPr>
              <w:t xml:space="preserve"> per combination of switching-from bands and switching-to bands</w:t>
            </w:r>
            <w:r w:rsidRPr="00A24404">
              <w:rPr>
                <w:bCs/>
              </w:rPr>
              <w:t>.</w:t>
            </w:r>
          </w:p>
          <w:p w:rsidR="00BB5092" w:rsidRPr="00A24404" w:rsidRDefault="00BB5092" w:rsidP="00A24404">
            <w:pPr>
              <w:widowControl w:val="0"/>
              <w:numPr>
                <w:ilvl w:val="1"/>
                <w:numId w:val="16"/>
              </w:numPr>
              <w:spacing w:after="0"/>
              <w:ind w:leftChars="554" w:left="1528"/>
              <w:rPr>
                <w:bCs/>
              </w:rPr>
            </w:pPr>
            <w:r w:rsidRPr="00A24404">
              <w:rPr>
                <w:bCs/>
              </w:rPr>
              <w:t>Candidate values are {35u, 140us, 210us}, no other values to be added.</w:t>
            </w:r>
          </w:p>
          <w:p w:rsidR="00BB5092" w:rsidRPr="00A24404" w:rsidRDefault="00BB5092" w:rsidP="00A24404">
            <w:pPr>
              <w:widowControl w:val="0"/>
              <w:numPr>
                <w:ilvl w:val="1"/>
                <w:numId w:val="16"/>
              </w:numPr>
              <w:spacing w:after="0"/>
              <w:ind w:leftChars="554" w:left="1528"/>
              <w:rPr>
                <w:bCs/>
              </w:rPr>
            </w:pPr>
            <w:r w:rsidRPr="00A24404">
              <w:t>For switching between {1T, 1T, 0T, 0T} and {0T, 0T, 1T, 1T} on band {A, B, C, D},</w:t>
            </w:r>
          </w:p>
          <w:p w:rsidR="00BB5092" w:rsidRPr="00A24404" w:rsidRDefault="00BB5092" w:rsidP="00A24404">
            <w:pPr>
              <w:widowControl w:val="0"/>
              <w:numPr>
                <w:ilvl w:val="3"/>
                <w:numId w:val="17"/>
              </w:numPr>
              <w:spacing w:after="0"/>
              <w:ind w:leftChars="766" w:left="1952"/>
              <w:rPr>
                <w:bCs/>
              </w:rPr>
            </w:pPr>
            <w:r w:rsidRPr="00A24404">
              <w:rPr>
                <w:bCs/>
              </w:rPr>
              <w:t>Switching-from bands are A+B, and switching-to bands are C+D, or,</w:t>
            </w:r>
          </w:p>
          <w:p w:rsidR="00BB5092" w:rsidRPr="00A24404" w:rsidRDefault="00BB5092" w:rsidP="00A24404">
            <w:pPr>
              <w:widowControl w:val="0"/>
              <w:numPr>
                <w:ilvl w:val="3"/>
                <w:numId w:val="17"/>
              </w:numPr>
              <w:spacing w:after="0"/>
              <w:ind w:leftChars="766" w:left="1952"/>
              <w:rPr>
                <w:bCs/>
              </w:rPr>
            </w:pPr>
            <w:r w:rsidRPr="00A24404">
              <w:rPr>
                <w:bCs/>
              </w:rPr>
              <w:t>Switching-from bands are C+D, and switching-to bands are A+B</w:t>
            </w:r>
          </w:p>
          <w:p w:rsidR="00BB5092" w:rsidRPr="00A24404" w:rsidRDefault="00BB5092" w:rsidP="00A24404">
            <w:pPr>
              <w:widowControl w:val="0"/>
              <w:numPr>
                <w:ilvl w:val="1"/>
                <w:numId w:val="16"/>
              </w:numPr>
              <w:spacing w:after="0"/>
              <w:ind w:leftChars="554" w:left="1528"/>
              <w:rPr>
                <w:bCs/>
              </w:rPr>
            </w:pPr>
            <w:r w:rsidRPr="00A24404">
              <w:t xml:space="preserve">UE to report one value for each </w:t>
            </w:r>
            <w:r w:rsidRPr="00A24404">
              <w:rPr>
                <w:bCs/>
              </w:rPr>
              <w:t>combination of switching-from bands and switching-to bands, which applies to both A+B to C+D and C+D to A+B.</w:t>
            </w:r>
          </w:p>
          <w:p w:rsidR="00BB5092" w:rsidRPr="00A24404" w:rsidRDefault="00BB5092" w:rsidP="00A24404">
            <w:pPr>
              <w:widowControl w:val="0"/>
              <w:numPr>
                <w:ilvl w:val="1"/>
                <w:numId w:val="16"/>
              </w:numPr>
              <w:spacing w:after="0"/>
              <w:ind w:leftChars="554" w:left="1528"/>
              <w:rPr>
                <w:bCs/>
              </w:rPr>
            </w:pPr>
            <w:r w:rsidRPr="00A24404">
              <w:rPr>
                <w:bCs/>
              </w:rPr>
              <w:t xml:space="preserve">This new capability only applies for switching of 2Tx chains between 2 different band pair as a switching event, i.e., between </w:t>
            </w:r>
            <w:r w:rsidRPr="00A24404">
              <w:t>{1T, 1T, 0T, 0T} and {0T, 0T, 1T, 1T}, and the default UE behaviour based RAN4 previously agreed capability applies unless otherwise stated.</w:t>
            </w:r>
          </w:p>
        </w:tc>
      </w:tr>
    </w:tbl>
    <w:p w:rsidR="00BB5092" w:rsidRPr="00BB5092" w:rsidRDefault="00BB5092" w:rsidP="00841D1C">
      <w:pPr>
        <w:spacing w:after="0"/>
        <w:rPr>
          <w:bCs/>
          <w:szCs w:val="21"/>
        </w:rPr>
      </w:pPr>
    </w:p>
    <w:p w:rsidR="00FB22F1" w:rsidRPr="006B7D69" w:rsidRDefault="00FB22F1" w:rsidP="00093A3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herefore, </w:t>
      </w:r>
      <w:bookmarkStart w:id="5" w:name="_Hlk142586646"/>
      <w:r>
        <w:rPr>
          <w:rFonts w:eastAsia="等线"/>
          <w:lang w:val="en-US" w:eastAsia="zh-CN"/>
        </w:rPr>
        <w:t xml:space="preserve">it seems the </w:t>
      </w:r>
      <w:r w:rsidR="009857F6">
        <w:rPr>
          <w:rFonts w:eastAsia="等线"/>
          <w:lang w:val="en-US" w:eastAsia="zh-CN"/>
        </w:rPr>
        <w:t>problem</w:t>
      </w:r>
      <w:r>
        <w:rPr>
          <w:rFonts w:eastAsia="等线"/>
          <w:lang w:val="en-US" w:eastAsia="zh-CN"/>
        </w:rPr>
        <w:t xml:space="preserve"> of “ambiguity issue” has already been solved.</w:t>
      </w:r>
      <w:bookmarkEnd w:id="5"/>
      <w:r>
        <w:rPr>
          <w:rFonts w:eastAsia="等线"/>
          <w:lang w:val="en-US" w:eastAsia="zh-CN"/>
        </w:rPr>
        <w:t xml:space="preserve"> And the necessity of introducing another new capability to indicate the switching period seems </w:t>
      </w:r>
      <w:r w:rsidRPr="00FB22F1">
        <w:rPr>
          <w:rFonts w:eastAsia="等线"/>
          <w:lang w:val="en-US" w:eastAsia="zh-CN"/>
        </w:rPr>
        <w:t>reinvent the wheel</w:t>
      </w:r>
      <w:r w:rsidR="00DB52F2">
        <w:rPr>
          <w:rFonts w:eastAsia="等线"/>
          <w:lang w:val="en-US" w:eastAsia="zh-CN"/>
        </w:rPr>
        <w:t>?</w:t>
      </w:r>
    </w:p>
    <w:p w:rsidR="00A662EE" w:rsidRPr="005F7354" w:rsidRDefault="00A662EE" w:rsidP="00A662EE">
      <w:pPr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A662EE">
        <w:rPr>
          <w:rFonts w:eastAsia="等线"/>
          <w:b/>
          <w:lang w:val="en-US" w:eastAsia="zh-CN"/>
        </w:rPr>
        <w:t xml:space="preserve">UE capability of </w:t>
      </w:r>
      <w:r w:rsidRPr="00A662EE">
        <w:rPr>
          <w:rFonts w:eastAsia="等线"/>
          <w:b/>
          <w:i/>
          <w:lang w:val="en-US" w:eastAsia="zh-CN"/>
        </w:rPr>
        <w:t>uplinkTxSwitchingPeriod1T1Tto1T1T</w:t>
      </w:r>
      <w:r w:rsidRPr="00A662EE">
        <w:rPr>
          <w:rFonts w:eastAsia="等线"/>
          <w:b/>
          <w:lang w:val="en-US" w:eastAsia="zh-CN"/>
        </w:rPr>
        <w:t xml:space="preserve"> was introduced, which can indicate the exact switching period of </w:t>
      </w:r>
      <w:r w:rsidRPr="00A662EE">
        <w:rPr>
          <w:b/>
          <w:bCs/>
          <w:iCs/>
        </w:rPr>
        <w:t>from 1T+1T on band A and B to 1T+1T on band C and D</w:t>
      </w:r>
      <w:r w:rsidRPr="00A662EE">
        <w:rPr>
          <w:rFonts w:eastAsia="等线"/>
          <w:b/>
          <w:lang w:val="en-US" w:eastAsia="zh-CN"/>
        </w:rPr>
        <w:t>.</w:t>
      </w:r>
      <w:r w:rsidR="001F226B">
        <w:rPr>
          <w:rFonts w:eastAsia="等线"/>
          <w:b/>
          <w:lang w:val="en-US" w:eastAsia="zh-CN"/>
        </w:rPr>
        <w:t xml:space="preserve"> I</w:t>
      </w:r>
      <w:r w:rsidR="001F226B" w:rsidRPr="001F226B">
        <w:rPr>
          <w:rFonts w:eastAsia="等线"/>
          <w:b/>
          <w:lang w:val="en-US" w:eastAsia="zh-CN"/>
        </w:rPr>
        <w:t>t seems the problem of “ambiguity issue” has already been solved.</w:t>
      </w:r>
    </w:p>
    <w:p w:rsidR="00093A39" w:rsidRPr="00977E26" w:rsidRDefault="00093A39" w:rsidP="00093A39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 w:hint="eastAsia"/>
          <w:b/>
          <w:lang w:val="en-US" w:eastAsia="zh-CN"/>
        </w:rPr>
        <w:t>Proposal</w:t>
      </w:r>
      <w:r w:rsidRPr="00F4062A">
        <w:rPr>
          <w:rFonts w:eastAsia="等线"/>
          <w:b/>
          <w:lang w:val="en-US" w:eastAsia="zh-CN"/>
        </w:rPr>
        <w:t xml:space="preserve"> </w:t>
      </w:r>
      <w:r w:rsidR="000C007D"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      </w:t>
      </w:r>
      <w:r w:rsidR="00C41C1F">
        <w:rPr>
          <w:rFonts w:eastAsia="等线"/>
          <w:b/>
          <w:lang w:val="en-US" w:eastAsia="zh-CN"/>
        </w:rPr>
        <w:t xml:space="preserve">Discuss whether there is necessity to reintroduce another capability to indicate the switching period from </w:t>
      </w:r>
      <w:r w:rsidR="00C41C1F" w:rsidRPr="00A662EE">
        <w:rPr>
          <w:b/>
          <w:bCs/>
          <w:iCs/>
        </w:rPr>
        <w:t>1T+1T on band A and B to 1T+1T on band C and D</w:t>
      </w:r>
      <w:r w:rsidR="00C41C1F">
        <w:rPr>
          <w:b/>
          <w:bCs/>
          <w:iCs/>
        </w:rPr>
        <w:t xml:space="preserve"> when the capability of </w:t>
      </w:r>
      <w:r w:rsidR="00C41C1F" w:rsidRPr="00A662EE">
        <w:rPr>
          <w:rFonts w:eastAsia="等线"/>
          <w:b/>
          <w:i/>
          <w:lang w:val="en-US" w:eastAsia="zh-CN"/>
        </w:rPr>
        <w:t>uplinkTxSwitchingPeriod1T1Tto1T1T</w:t>
      </w:r>
      <w:r w:rsidR="00C41C1F" w:rsidRPr="00A662EE">
        <w:rPr>
          <w:rFonts w:eastAsia="等线"/>
          <w:b/>
          <w:lang w:val="en-US" w:eastAsia="zh-CN"/>
        </w:rPr>
        <w:t xml:space="preserve"> </w:t>
      </w:r>
      <w:r w:rsidR="00C41C1F">
        <w:rPr>
          <w:rFonts w:eastAsia="等线"/>
          <w:b/>
          <w:lang w:val="en-US" w:eastAsia="zh-CN"/>
        </w:rPr>
        <w:t xml:space="preserve">is </w:t>
      </w:r>
      <w:r w:rsidR="001B04B9">
        <w:rPr>
          <w:rFonts w:eastAsia="等线"/>
          <w:b/>
          <w:lang w:val="en-US" w:eastAsia="zh-CN"/>
        </w:rPr>
        <w:t xml:space="preserve">already </w:t>
      </w:r>
      <w:r w:rsidR="00C41C1F" w:rsidRPr="00A662EE">
        <w:rPr>
          <w:rFonts w:eastAsia="等线"/>
          <w:b/>
          <w:lang w:val="en-US" w:eastAsia="zh-CN"/>
        </w:rPr>
        <w:t>introduced</w:t>
      </w:r>
      <w:r w:rsidR="00C41C1F">
        <w:rPr>
          <w:rFonts w:eastAsia="等线"/>
          <w:b/>
          <w:lang w:val="en-US" w:eastAsia="zh-CN"/>
        </w:rPr>
        <w:t>.</w:t>
      </w:r>
    </w:p>
    <w:bookmarkEnd w:id="2"/>
    <w:p w:rsidR="00682B3D" w:rsidRPr="00876E31" w:rsidRDefault="00682B3D" w:rsidP="001E268E">
      <w:pPr>
        <w:spacing w:after="0"/>
        <w:rPr>
          <w:rFonts w:eastAsia="Batang"/>
          <w:kern w:val="2"/>
          <w:lang w:val="en-US" w:eastAsia="ko-KR"/>
        </w:rPr>
      </w:pPr>
    </w:p>
    <w:p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:rsidR="00CA45A3" w:rsidRDefault="008F3A2C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8F3A2C">
        <w:rPr>
          <w:rFonts w:eastAsia="华文楷体"/>
          <w:szCs w:val="28"/>
        </w:rPr>
        <w:t>R4-2310496</w:t>
      </w:r>
      <w:r w:rsidR="005D5472" w:rsidRPr="003B76E4">
        <w:t xml:space="preserve">, </w:t>
      </w:r>
      <w:r w:rsidRPr="008F3A2C">
        <w:t>WF on ambiguity issues for parallel switching of two Tx chain across 4 bands</w:t>
      </w:r>
      <w:r w:rsidR="005D5472" w:rsidRPr="003B76E4">
        <w:t xml:space="preserve">, </w:t>
      </w:r>
      <w:r>
        <w:t>MTK</w:t>
      </w:r>
      <w:r w:rsidR="00F561C3" w:rsidRPr="00F561C3">
        <w:t xml:space="preserve">, </w:t>
      </w:r>
      <w:r w:rsidR="008F7132">
        <w:t>RAN</w:t>
      </w:r>
      <w:r>
        <w:t>4</w:t>
      </w:r>
      <w:r w:rsidRPr="008F3A2C">
        <w:t>#107 2023-05</w:t>
      </w:r>
    </w:p>
    <w:p w:rsidR="008F3A2C" w:rsidRDefault="008F3A2C" w:rsidP="008F3A2C">
      <w:pPr>
        <w:numPr>
          <w:ilvl w:val="0"/>
          <w:numId w:val="2"/>
        </w:numPr>
        <w:tabs>
          <w:tab w:val="left" w:pos="5529"/>
        </w:tabs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ED47A5">
        <w:t>R4-2220548</w:t>
      </w:r>
      <w:r>
        <w:t xml:space="preserve">, </w:t>
      </w:r>
      <w:r w:rsidRPr="00ED47A5">
        <w:t>LS on Rel-18 UL Tx switching</w:t>
      </w:r>
      <w:r>
        <w:t>, RAN4-&gt;R1/R2, RAN4#105, Nov 2022</w:t>
      </w:r>
    </w:p>
    <w:p w:rsidR="00D43BE4" w:rsidRDefault="00A24404" w:rsidP="008F3A2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A24404">
        <w:t>R4-2310495</w:t>
      </w:r>
      <w:r>
        <w:t xml:space="preserve">, </w:t>
      </w:r>
      <w:r w:rsidRPr="00A24404">
        <w:t>LS on multi-carrier enhancement</w:t>
      </w:r>
      <w:r>
        <w:t>, RAN4-&gt;R1/R2,</w:t>
      </w:r>
      <w:r w:rsidRPr="00A24404">
        <w:t xml:space="preserve"> RAN4#107 2023-05</w:t>
      </w:r>
    </w:p>
    <w:sectPr w:rsidR="00D43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AA8" w:rsidRDefault="00331AA8">
      <w:r>
        <w:separator/>
      </w:r>
    </w:p>
  </w:endnote>
  <w:endnote w:type="continuationSeparator" w:id="0">
    <w:p w:rsidR="00331AA8" w:rsidRDefault="0033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AA8" w:rsidRDefault="00331AA8">
      <w:r>
        <w:separator/>
      </w:r>
    </w:p>
  </w:footnote>
  <w:footnote w:type="continuationSeparator" w:id="0">
    <w:p w:rsidR="00331AA8" w:rsidRDefault="0033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99815E3"/>
    <w:multiLevelType w:val="multilevel"/>
    <w:tmpl w:val="199815E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1010A5"/>
    <w:multiLevelType w:val="hybridMultilevel"/>
    <w:tmpl w:val="C79E6F4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EC3EDD"/>
    <w:multiLevelType w:val="multilevel"/>
    <w:tmpl w:val="BE6A624C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6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14"/>
  </w:num>
  <w:num w:numId="10">
    <w:abstractNumId w:val="6"/>
  </w:num>
  <w:num w:numId="11">
    <w:abstractNumId w:val="13"/>
  </w:num>
  <w:num w:numId="12">
    <w:abstractNumId w:val="15"/>
  </w:num>
  <w:num w:numId="13">
    <w:abstractNumId w:val="9"/>
  </w:num>
  <w:num w:numId="14">
    <w:abstractNumId w:val="0"/>
  </w:num>
  <w:num w:numId="15">
    <w:abstractNumId w:val="4"/>
  </w:num>
  <w:num w:numId="16">
    <w:abstractNumId w:val="1"/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5B0"/>
    <w:rsid w:val="00000C2D"/>
    <w:rsid w:val="00002113"/>
    <w:rsid w:val="0000309B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A39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007D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7D42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0DA3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5093"/>
    <w:rsid w:val="001861A8"/>
    <w:rsid w:val="00186B3D"/>
    <w:rsid w:val="001872B0"/>
    <w:rsid w:val="001879E3"/>
    <w:rsid w:val="00187CC9"/>
    <w:rsid w:val="00191309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519E"/>
    <w:rsid w:val="001A5897"/>
    <w:rsid w:val="001A6B2B"/>
    <w:rsid w:val="001A6E05"/>
    <w:rsid w:val="001A7203"/>
    <w:rsid w:val="001B04B9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26B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5A76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693B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1AA8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227B"/>
    <w:rsid w:val="003631E4"/>
    <w:rsid w:val="00364251"/>
    <w:rsid w:val="003657C6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5170"/>
    <w:rsid w:val="003861D5"/>
    <w:rsid w:val="003873FB"/>
    <w:rsid w:val="00390BAF"/>
    <w:rsid w:val="00393094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1B34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4E83"/>
    <w:rsid w:val="0045541C"/>
    <w:rsid w:val="00455795"/>
    <w:rsid w:val="00456006"/>
    <w:rsid w:val="0046078E"/>
    <w:rsid w:val="00461A5B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35B4"/>
    <w:rsid w:val="00483E2D"/>
    <w:rsid w:val="004842FB"/>
    <w:rsid w:val="00484861"/>
    <w:rsid w:val="00484F85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26B46"/>
    <w:rsid w:val="00630907"/>
    <w:rsid w:val="00631298"/>
    <w:rsid w:val="006321D5"/>
    <w:rsid w:val="00632FA9"/>
    <w:rsid w:val="00633150"/>
    <w:rsid w:val="00633B08"/>
    <w:rsid w:val="00635627"/>
    <w:rsid w:val="00636D24"/>
    <w:rsid w:val="006376B5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7D69"/>
    <w:rsid w:val="006C0660"/>
    <w:rsid w:val="006C0DB2"/>
    <w:rsid w:val="006C2319"/>
    <w:rsid w:val="006C240D"/>
    <w:rsid w:val="006C25DA"/>
    <w:rsid w:val="006C4684"/>
    <w:rsid w:val="006C7555"/>
    <w:rsid w:val="006C78C9"/>
    <w:rsid w:val="006D0BDB"/>
    <w:rsid w:val="006D1C47"/>
    <w:rsid w:val="006D2979"/>
    <w:rsid w:val="006D3D64"/>
    <w:rsid w:val="006D5724"/>
    <w:rsid w:val="006D5C99"/>
    <w:rsid w:val="006D686A"/>
    <w:rsid w:val="006D6FE0"/>
    <w:rsid w:val="006E099E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6492A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1D1C"/>
    <w:rsid w:val="00842D81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0B"/>
    <w:rsid w:val="008C5A23"/>
    <w:rsid w:val="008C60E9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AF5"/>
    <w:rsid w:val="008F2F51"/>
    <w:rsid w:val="008F3A2C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17CA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57F6"/>
    <w:rsid w:val="009860DC"/>
    <w:rsid w:val="009872DF"/>
    <w:rsid w:val="00987C57"/>
    <w:rsid w:val="00990ED1"/>
    <w:rsid w:val="009913F6"/>
    <w:rsid w:val="009916F6"/>
    <w:rsid w:val="00992B5F"/>
    <w:rsid w:val="0099302C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5F98"/>
    <w:rsid w:val="009B6ABA"/>
    <w:rsid w:val="009B70DA"/>
    <w:rsid w:val="009C0167"/>
    <w:rsid w:val="009C0727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285"/>
    <w:rsid w:val="009C7664"/>
    <w:rsid w:val="009D3C9E"/>
    <w:rsid w:val="009D594A"/>
    <w:rsid w:val="009D6652"/>
    <w:rsid w:val="009D7623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404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62EE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12DF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66DE0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5092"/>
    <w:rsid w:val="00BB66DF"/>
    <w:rsid w:val="00BB6B3A"/>
    <w:rsid w:val="00BC05BB"/>
    <w:rsid w:val="00BC1174"/>
    <w:rsid w:val="00BC151E"/>
    <w:rsid w:val="00BC1DB3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AE7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0D07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1C1F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540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D04"/>
    <w:rsid w:val="00D22F37"/>
    <w:rsid w:val="00D24133"/>
    <w:rsid w:val="00D24556"/>
    <w:rsid w:val="00D25B61"/>
    <w:rsid w:val="00D26312"/>
    <w:rsid w:val="00D26D63"/>
    <w:rsid w:val="00D27B6C"/>
    <w:rsid w:val="00D30130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D32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66E5A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175A"/>
    <w:rsid w:val="00DA2833"/>
    <w:rsid w:val="00DA4272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2F2"/>
    <w:rsid w:val="00DB5BCD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0D4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ABD"/>
    <w:rsid w:val="00ED5D62"/>
    <w:rsid w:val="00ED6E25"/>
    <w:rsid w:val="00ED6FEC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22F1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5C0C"/>
    <w:rsid w:val="00FD68FD"/>
    <w:rsid w:val="00FD76E1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92DEF-0322-443D-8AE7-5661748B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5136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256</cp:revision>
  <dcterms:created xsi:type="dcterms:W3CDTF">2023-05-05T08:09:00Z</dcterms:created>
  <dcterms:modified xsi:type="dcterms:W3CDTF">2023-08-11T11:40:00Z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